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171FA" w14:textId="77777777" w:rsidR="00BF28F5" w:rsidRDefault="00BF28F5" w:rsidP="00E211C2">
      <w:bookmarkStart w:id="0" w:name="_GoBack"/>
      <w:bookmarkEnd w:id="0"/>
    </w:p>
    <w:p w14:paraId="279E31E7" w14:textId="77777777" w:rsidR="00A36F25" w:rsidRDefault="00A36F25" w:rsidP="00E211C2"/>
    <w:p w14:paraId="7AED3997" w14:textId="77777777" w:rsidR="00604998" w:rsidRDefault="00604998" w:rsidP="00604998">
      <w:pPr>
        <w:ind w:firstLine="113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Philosophie de la médecine – Ethique clinique</w:t>
      </w:r>
    </w:p>
    <w:p w14:paraId="79C74B6A" w14:textId="77777777" w:rsidR="00604998" w:rsidRDefault="00604998" w:rsidP="00604998">
      <w:pPr>
        <w:ind w:firstLine="1134"/>
        <w:jc w:val="center"/>
        <w:rPr>
          <w:rFonts w:ascii="Arial" w:hAnsi="Arial" w:cs="Arial"/>
          <w:b/>
          <w:sz w:val="24"/>
        </w:rPr>
      </w:pPr>
    </w:p>
    <w:p w14:paraId="6DA5218F" w14:textId="77777777" w:rsidR="00604998" w:rsidRDefault="00604998" w:rsidP="00604998">
      <w:pPr>
        <w:ind w:firstLine="1134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SEMINAIRE de RECHERCHE </w:t>
      </w:r>
      <w:r w:rsidR="00EF41A8">
        <w:rPr>
          <w:rFonts w:ascii="Arial" w:hAnsi="Arial" w:cs="Arial"/>
          <w:sz w:val="24"/>
          <w:u w:val="single"/>
        </w:rPr>
        <w:t>2022-2023</w:t>
      </w:r>
    </w:p>
    <w:p w14:paraId="7305551F" w14:textId="77777777" w:rsidR="00A36F25" w:rsidRDefault="00A36F25" w:rsidP="00A36F25">
      <w:pPr>
        <w:ind w:firstLine="1134"/>
        <w:jc w:val="center"/>
        <w:rPr>
          <w:rFonts w:ascii="Arial" w:hAnsi="Arial" w:cs="Arial"/>
          <w:b/>
          <w:sz w:val="24"/>
        </w:rPr>
      </w:pPr>
    </w:p>
    <w:p w14:paraId="2E9F6EF0" w14:textId="77777777" w:rsidR="00A36F25" w:rsidRDefault="00A36F25" w:rsidP="00A36F25">
      <w:pPr>
        <w:ind w:firstLine="1134"/>
        <w:jc w:val="center"/>
        <w:rPr>
          <w:rFonts w:ascii="Arial" w:hAnsi="Arial" w:cs="Arial"/>
          <w:b/>
          <w:sz w:val="24"/>
        </w:rPr>
      </w:pPr>
      <w:r w:rsidRPr="0006092F">
        <w:rPr>
          <w:rFonts w:ascii="Arial" w:hAnsi="Arial" w:cs="Arial"/>
          <w:b/>
          <w:sz w:val="24"/>
        </w:rPr>
        <w:t>Jean-Christophe Weber</w:t>
      </w:r>
    </w:p>
    <w:p w14:paraId="356FBD96" w14:textId="77777777" w:rsidR="00A36F25" w:rsidRDefault="00A36F25" w:rsidP="00A36F25">
      <w:pPr>
        <w:ind w:firstLine="1134"/>
        <w:jc w:val="center"/>
        <w:rPr>
          <w:rFonts w:ascii="Arial" w:hAnsi="Arial" w:cs="Arial"/>
          <w:b/>
          <w:sz w:val="24"/>
        </w:rPr>
      </w:pPr>
    </w:p>
    <w:p w14:paraId="1AC8F983" w14:textId="77777777" w:rsidR="00A36F25" w:rsidRDefault="00A36F25" w:rsidP="00A36F25">
      <w:pPr>
        <w:ind w:firstLine="1134"/>
        <w:jc w:val="center"/>
        <w:rPr>
          <w:rFonts w:ascii="Arial" w:hAnsi="Arial" w:cs="Arial"/>
          <w:b/>
          <w:sz w:val="24"/>
        </w:rPr>
      </w:pPr>
    </w:p>
    <w:p w14:paraId="2B18DE26" w14:textId="77777777" w:rsidR="00A36F25" w:rsidRDefault="00A36F25" w:rsidP="00A36F25">
      <w:pPr>
        <w:ind w:firstLine="1134"/>
        <w:jc w:val="center"/>
        <w:rPr>
          <w:rFonts w:ascii="Arial" w:hAnsi="Arial" w:cs="Arial"/>
          <w:b/>
          <w:sz w:val="24"/>
        </w:rPr>
      </w:pPr>
    </w:p>
    <w:p w14:paraId="740F1D2F" w14:textId="5B72FF7A" w:rsidR="00C332BF" w:rsidRDefault="00EF41A8" w:rsidP="00A57A59">
      <w:pPr>
        <w:ind w:firstLine="113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ENGAGEMENT</w:t>
      </w:r>
      <w:r w:rsidR="00C332BF">
        <w:rPr>
          <w:rFonts w:ascii="Arial" w:hAnsi="Arial" w:cs="Arial"/>
          <w:b/>
          <w:sz w:val="24"/>
        </w:rPr>
        <w:t>, ALIENATION, IMPUISSANCE</w:t>
      </w:r>
      <w:r w:rsidR="00F70031">
        <w:rPr>
          <w:rFonts w:ascii="Arial" w:hAnsi="Arial" w:cs="Arial"/>
          <w:b/>
          <w:sz w:val="24"/>
        </w:rPr>
        <w:t xml:space="preserve"> : LES SOIGNANTS </w:t>
      </w:r>
      <w:r w:rsidR="00E74493">
        <w:rPr>
          <w:rFonts w:ascii="Arial" w:hAnsi="Arial" w:cs="Arial"/>
          <w:b/>
          <w:sz w:val="24"/>
        </w:rPr>
        <w:t>À</w:t>
      </w:r>
      <w:r w:rsidR="00F70031">
        <w:rPr>
          <w:rFonts w:ascii="Arial" w:hAnsi="Arial" w:cs="Arial"/>
          <w:b/>
          <w:sz w:val="24"/>
        </w:rPr>
        <w:t xml:space="preserve"> BOUT DE FORCE</w:t>
      </w:r>
      <w:r w:rsidR="00E74493">
        <w:rPr>
          <w:rFonts w:ascii="Arial" w:hAnsi="Arial" w:cs="Arial"/>
          <w:b/>
          <w:sz w:val="24"/>
        </w:rPr>
        <w:t>S</w:t>
      </w:r>
      <w:r w:rsidR="00F70031">
        <w:rPr>
          <w:rFonts w:ascii="Arial" w:hAnsi="Arial" w:cs="Arial"/>
          <w:b/>
          <w:sz w:val="24"/>
        </w:rPr>
        <w:t>.</w:t>
      </w:r>
    </w:p>
    <w:p w14:paraId="02DF9BEC" w14:textId="77777777" w:rsidR="00C332BF" w:rsidRPr="00B138CC" w:rsidRDefault="00C332BF" w:rsidP="00C332BF">
      <w:pPr>
        <w:ind w:firstLine="1134"/>
        <w:jc w:val="center"/>
        <w:rPr>
          <w:rFonts w:ascii="Arial" w:hAnsi="Arial" w:cs="Arial"/>
          <w:b/>
          <w:i/>
          <w:sz w:val="24"/>
          <w:lang w:val="en-US"/>
        </w:rPr>
      </w:pPr>
      <w:r w:rsidRPr="00B138CC">
        <w:rPr>
          <w:rFonts w:ascii="Arial" w:hAnsi="Arial" w:cs="Arial"/>
          <w:b/>
          <w:i/>
          <w:sz w:val="24"/>
          <w:lang w:val="en-US"/>
        </w:rPr>
        <w:t xml:space="preserve">Shadows in the </w:t>
      </w:r>
      <w:proofErr w:type="gramStart"/>
      <w:r w:rsidRPr="00B138CC">
        <w:rPr>
          <w:rFonts w:ascii="Arial" w:hAnsi="Arial" w:cs="Arial"/>
          <w:b/>
          <w:i/>
          <w:sz w:val="24"/>
          <w:lang w:val="en-US"/>
        </w:rPr>
        <w:t>mood</w:t>
      </w:r>
      <w:r w:rsidR="00F70031" w:rsidRPr="00B138CC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="00F70031" w:rsidRPr="00B138CC">
        <w:rPr>
          <w:rFonts w:ascii="Arial" w:hAnsi="Arial" w:cs="Arial"/>
          <w:b/>
          <w:i/>
          <w:sz w:val="24"/>
          <w:lang w:val="en-US"/>
        </w:rPr>
        <w:t>ou</w:t>
      </w:r>
      <w:proofErr w:type="spellEnd"/>
      <w:r w:rsidR="00F70031" w:rsidRPr="00B138CC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="00F70031" w:rsidRPr="00B138CC">
        <w:rPr>
          <w:rFonts w:ascii="Arial" w:hAnsi="Arial" w:cs="Arial"/>
          <w:b/>
          <w:i/>
          <w:sz w:val="24"/>
          <w:lang w:val="en-US"/>
        </w:rPr>
        <w:t>r</w:t>
      </w:r>
      <w:r w:rsidR="00B138CC">
        <w:rPr>
          <w:rFonts w:ascii="Arial" w:hAnsi="Arial" w:cs="Arial"/>
          <w:b/>
          <w:i/>
          <w:sz w:val="24"/>
          <w:lang w:val="en-US"/>
        </w:rPr>
        <w:t>é</w:t>
      </w:r>
      <w:r w:rsidR="00F70031" w:rsidRPr="00B138CC">
        <w:rPr>
          <w:rFonts w:ascii="Arial" w:hAnsi="Arial" w:cs="Arial"/>
          <w:b/>
          <w:i/>
          <w:sz w:val="24"/>
          <w:lang w:val="en-US"/>
        </w:rPr>
        <w:t>volution</w:t>
      </w:r>
      <w:proofErr w:type="spellEnd"/>
      <w:r w:rsidR="00F70031" w:rsidRPr="00B138CC">
        <w:rPr>
          <w:rFonts w:ascii="Arial" w:hAnsi="Arial" w:cs="Arial"/>
          <w:b/>
          <w:i/>
          <w:sz w:val="24"/>
          <w:lang w:val="en-US"/>
        </w:rPr>
        <w:t xml:space="preserve"> morale</w:t>
      </w:r>
      <w:proofErr w:type="gramEnd"/>
      <w:r w:rsidR="00F70031" w:rsidRPr="00B138CC">
        <w:rPr>
          <w:rFonts w:ascii="Arial" w:hAnsi="Arial" w:cs="Arial"/>
          <w:b/>
          <w:i/>
          <w:sz w:val="24"/>
          <w:lang w:val="en-US"/>
        </w:rPr>
        <w:t xml:space="preserve">? </w:t>
      </w:r>
    </w:p>
    <w:p w14:paraId="576D6C59" w14:textId="77777777" w:rsidR="00A36F25" w:rsidRPr="00F70031" w:rsidRDefault="00A36F25" w:rsidP="00C332BF">
      <w:pPr>
        <w:ind w:firstLine="1134"/>
        <w:rPr>
          <w:rFonts w:ascii="Arial" w:hAnsi="Arial" w:cs="Arial"/>
          <w:b/>
          <w:sz w:val="24"/>
          <w:lang w:val="en-US"/>
        </w:rPr>
      </w:pPr>
    </w:p>
    <w:p w14:paraId="1BE27458" w14:textId="77777777" w:rsidR="00A36F25" w:rsidRPr="00F70031" w:rsidRDefault="00A36F25" w:rsidP="00A36F25">
      <w:pPr>
        <w:ind w:firstLine="1134"/>
        <w:jc w:val="center"/>
        <w:rPr>
          <w:rFonts w:ascii="Arial" w:hAnsi="Arial" w:cs="Arial"/>
          <w:b/>
          <w:sz w:val="24"/>
          <w:lang w:val="en-US"/>
        </w:rPr>
      </w:pPr>
    </w:p>
    <w:p w14:paraId="6CB985CC" w14:textId="69398BFC" w:rsidR="00BB6269" w:rsidRDefault="00B138CC" w:rsidP="009F66E9">
      <w:pPr>
        <w:spacing w:line="280" w:lineRule="exact"/>
        <w:jc w:val="both"/>
        <w:rPr>
          <w:sz w:val="24"/>
          <w:szCs w:val="24"/>
        </w:rPr>
      </w:pPr>
      <w:r w:rsidRPr="00E14F31">
        <w:rPr>
          <w:sz w:val="24"/>
          <w:szCs w:val="24"/>
        </w:rPr>
        <w:t xml:space="preserve">On peut </w:t>
      </w:r>
      <w:r>
        <w:rPr>
          <w:sz w:val="24"/>
          <w:szCs w:val="24"/>
        </w:rPr>
        <w:t xml:space="preserve">figurer la </w:t>
      </w:r>
      <w:r w:rsidR="00E74493">
        <w:rPr>
          <w:sz w:val="24"/>
          <w:szCs w:val="24"/>
        </w:rPr>
        <w:t>relation</w:t>
      </w:r>
      <w:r>
        <w:rPr>
          <w:sz w:val="24"/>
          <w:szCs w:val="24"/>
        </w:rPr>
        <w:t xml:space="preserve"> </w:t>
      </w:r>
      <w:r w:rsidR="00E74493">
        <w:rPr>
          <w:sz w:val="24"/>
          <w:szCs w:val="24"/>
        </w:rPr>
        <w:t>médicale</w:t>
      </w:r>
      <w:r w:rsidR="00A57A59">
        <w:rPr>
          <w:sz w:val="24"/>
          <w:szCs w:val="24"/>
        </w:rPr>
        <w:t xml:space="preserve"> </w:t>
      </w:r>
      <w:r w:rsidRPr="00E14F31">
        <w:rPr>
          <w:sz w:val="24"/>
          <w:szCs w:val="24"/>
        </w:rPr>
        <w:t>comme un</w:t>
      </w:r>
      <w:r w:rsidR="00A57A59">
        <w:rPr>
          <w:sz w:val="24"/>
          <w:szCs w:val="24"/>
        </w:rPr>
        <w:t>e double aliénation asymétrique</w:t>
      </w:r>
      <w:r w:rsidRPr="00E14F31">
        <w:rPr>
          <w:sz w:val="24"/>
          <w:szCs w:val="24"/>
        </w:rPr>
        <w:t>.</w:t>
      </w:r>
      <w:r>
        <w:rPr>
          <w:sz w:val="24"/>
          <w:szCs w:val="24"/>
        </w:rPr>
        <w:t xml:space="preserve"> Un des versants est visible et contesté : </w:t>
      </w:r>
      <w:r w:rsidR="00F70031" w:rsidRPr="00E14F31">
        <w:rPr>
          <w:sz w:val="24"/>
          <w:szCs w:val="24"/>
        </w:rPr>
        <w:t xml:space="preserve">l’assujettissement des malades </w:t>
      </w:r>
      <w:r w:rsidR="00BB6269">
        <w:rPr>
          <w:sz w:val="24"/>
          <w:szCs w:val="24"/>
        </w:rPr>
        <w:t>à la domination</w:t>
      </w:r>
      <w:r w:rsidR="00F70031" w:rsidRPr="00E14F31">
        <w:rPr>
          <w:sz w:val="24"/>
          <w:szCs w:val="24"/>
        </w:rPr>
        <w:t xml:space="preserve"> médical</w:t>
      </w:r>
      <w:r w:rsidR="00BB6269">
        <w:rPr>
          <w:sz w:val="24"/>
          <w:szCs w:val="24"/>
        </w:rPr>
        <w:t>e</w:t>
      </w:r>
      <w:r>
        <w:rPr>
          <w:sz w:val="24"/>
          <w:szCs w:val="24"/>
        </w:rPr>
        <w:t>. L’autre versant est moins apparent : l</w:t>
      </w:r>
      <w:r w:rsidRPr="00E14F31">
        <w:rPr>
          <w:sz w:val="24"/>
          <w:szCs w:val="24"/>
        </w:rPr>
        <w:t xml:space="preserve">’identité </w:t>
      </w:r>
      <w:r>
        <w:rPr>
          <w:sz w:val="24"/>
          <w:szCs w:val="24"/>
        </w:rPr>
        <w:t xml:space="preserve">professionnelle du soignant </w:t>
      </w:r>
      <w:r w:rsidRPr="00E14F31">
        <w:rPr>
          <w:sz w:val="24"/>
          <w:szCs w:val="24"/>
        </w:rPr>
        <w:t>est une identité aliénée</w:t>
      </w:r>
      <w:r>
        <w:rPr>
          <w:sz w:val="24"/>
          <w:szCs w:val="24"/>
        </w:rPr>
        <w:t xml:space="preserve"> : </w:t>
      </w:r>
      <w:r w:rsidRPr="00E14F31">
        <w:rPr>
          <w:sz w:val="24"/>
          <w:szCs w:val="24"/>
          <w:lang w:val="fr-CA"/>
        </w:rPr>
        <w:t>« Que serait une infirmière s’il n’y avait pas de malade ? Et quel étrange animal serait alors le médecin</w:t>
      </w:r>
      <w:r>
        <w:rPr>
          <w:sz w:val="24"/>
          <w:szCs w:val="24"/>
          <w:lang w:val="fr-CA"/>
        </w:rPr>
        <w:t> </w:t>
      </w:r>
      <w:r w:rsidRPr="00E14F31">
        <w:rPr>
          <w:sz w:val="24"/>
          <w:szCs w:val="24"/>
          <w:lang w:val="fr-CA"/>
        </w:rPr>
        <w:t>!»</w:t>
      </w:r>
      <w:r w:rsidRPr="00E14F31">
        <w:rPr>
          <w:rStyle w:val="Appelnotedebasdep"/>
          <w:sz w:val="24"/>
          <w:szCs w:val="24"/>
          <w:lang w:val="fr-CA"/>
        </w:rPr>
        <w:footnoteReference w:id="1"/>
      </w:r>
      <w:r w:rsidRPr="00E14F31">
        <w:rPr>
          <w:sz w:val="24"/>
          <w:szCs w:val="24"/>
          <w:lang w:val="fr-CA"/>
        </w:rPr>
        <w:t>.</w:t>
      </w:r>
      <w:r w:rsidRPr="00E14F31">
        <w:rPr>
          <w:sz w:val="24"/>
          <w:szCs w:val="24"/>
        </w:rPr>
        <w:t xml:space="preserve"> </w:t>
      </w:r>
      <w:r w:rsidR="00BB6269" w:rsidRPr="00E14F31">
        <w:rPr>
          <w:sz w:val="24"/>
          <w:szCs w:val="24"/>
        </w:rPr>
        <w:t>Cette aliénation est choisie, décidée</w:t>
      </w:r>
      <w:r w:rsidR="00BB6269">
        <w:rPr>
          <w:sz w:val="24"/>
          <w:szCs w:val="24"/>
        </w:rPr>
        <w:t xml:space="preserve">, professée (cf. serment médical), mais non vécue comme </w:t>
      </w:r>
      <w:r w:rsidR="00E74493">
        <w:rPr>
          <w:sz w:val="24"/>
          <w:szCs w:val="24"/>
        </w:rPr>
        <w:t xml:space="preserve">étant forcément </w:t>
      </w:r>
      <w:r w:rsidR="004623E2">
        <w:rPr>
          <w:sz w:val="24"/>
          <w:szCs w:val="24"/>
        </w:rPr>
        <w:t>une aliénation</w:t>
      </w:r>
      <w:r w:rsidR="00E74493">
        <w:rPr>
          <w:sz w:val="24"/>
          <w:szCs w:val="24"/>
        </w:rPr>
        <w:t xml:space="preserve"> (</w:t>
      </w:r>
      <w:r w:rsidR="00BB6269">
        <w:rPr>
          <w:sz w:val="24"/>
          <w:szCs w:val="24"/>
        </w:rPr>
        <w:t>avec ses connotations négatives</w:t>
      </w:r>
      <w:r w:rsidR="00E74493">
        <w:rPr>
          <w:sz w:val="24"/>
          <w:szCs w:val="24"/>
        </w:rPr>
        <w:t>)</w:t>
      </w:r>
      <w:r w:rsidR="00BB6269">
        <w:rPr>
          <w:sz w:val="24"/>
          <w:szCs w:val="24"/>
        </w:rPr>
        <w:t xml:space="preserve">. </w:t>
      </w:r>
    </w:p>
    <w:p w14:paraId="244EDAFF" w14:textId="7462D157" w:rsidR="00F70031" w:rsidRDefault="00BB6269" w:rsidP="009F66E9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l’heure où les professionnels de santé sont réputés être ou se disent « aux limites de leur engagement », </w:t>
      </w:r>
      <w:r w:rsidR="004623E2">
        <w:rPr>
          <w:sz w:val="24"/>
          <w:szCs w:val="24"/>
        </w:rPr>
        <w:t xml:space="preserve">et vivent une forme d’impuissance, </w:t>
      </w:r>
      <w:r>
        <w:rPr>
          <w:sz w:val="24"/>
          <w:szCs w:val="24"/>
        </w:rPr>
        <w:t xml:space="preserve">une enquête étiologique s’impose : </w:t>
      </w:r>
      <w:r w:rsidR="004623E2">
        <w:rPr>
          <w:sz w:val="24"/>
          <w:szCs w:val="24"/>
        </w:rPr>
        <w:t>s’agit-il de l’</w:t>
      </w:r>
      <w:r>
        <w:rPr>
          <w:sz w:val="24"/>
          <w:szCs w:val="24"/>
        </w:rPr>
        <w:t>ombre portée</w:t>
      </w:r>
      <w:r w:rsidR="004623E2">
        <w:rPr>
          <w:sz w:val="24"/>
          <w:szCs w:val="24"/>
        </w:rPr>
        <w:t xml:space="preserve"> de l’individualisme, d’une perte de sens </w:t>
      </w:r>
      <w:r w:rsidR="00E74493">
        <w:rPr>
          <w:sz w:val="24"/>
          <w:szCs w:val="24"/>
        </w:rPr>
        <w:t>accélérée</w:t>
      </w:r>
      <w:r w:rsidR="00A57A59">
        <w:rPr>
          <w:sz w:val="24"/>
          <w:szCs w:val="24"/>
        </w:rPr>
        <w:t xml:space="preserve"> par</w:t>
      </w:r>
      <w:r w:rsidR="004623E2">
        <w:rPr>
          <w:sz w:val="24"/>
          <w:szCs w:val="24"/>
        </w:rPr>
        <w:t xml:space="preserve"> une conception productiviste des soins, d’un changement dans </w:t>
      </w:r>
      <w:r w:rsidR="00A57A59">
        <w:rPr>
          <w:sz w:val="24"/>
          <w:szCs w:val="24"/>
        </w:rPr>
        <w:t>la valeur accordée au</w:t>
      </w:r>
      <w:r w:rsidR="004623E2">
        <w:rPr>
          <w:sz w:val="24"/>
          <w:szCs w:val="24"/>
        </w:rPr>
        <w:t xml:space="preserve"> travail en général</w:t>
      </w:r>
      <w:r w:rsidR="00A57A59">
        <w:rPr>
          <w:sz w:val="24"/>
          <w:szCs w:val="24"/>
        </w:rPr>
        <w:t>, d’une remise en cause de cette double aliénation asymétrique</w:t>
      </w:r>
      <w:r w:rsidR="00A621A6">
        <w:rPr>
          <w:sz w:val="24"/>
          <w:szCs w:val="24"/>
        </w:rPr>
        <w:t xml:space="preserve"> par les deux parties</w:t>
      </w:r>
      <w:r w:rsidR="004623E2">
        <w:rPr>
          <w:sz w:val="24"/>
          <w:szCs w:val="24"/>
        </w:rPr>
        <w:t xml:space="preserve"> ? </w:t>
      </w:r>
      <w:r w:rsidR="00A57A59">
        <w:rPr>
          <w:sz w:val="24"/>
          <w:szCs w:val="24"/>
        </w:rPr>
        <w:t>Est-ce qu’on assiste actuellement à un « coup de mou » à contextualiser (hôpital-entreprise, pandémie exténuante, etc.)</w:t>
      </w:r>
      <w:r w:rsidR="007C2F67">
        <w:rPr>
          <w:sz w:val="24"/>
          <w:szCs w:val="24"/>
        </w:rPr>
        <w:t xml:space="preserve"> pour mieux « rebondir », avec </w:t>
      </w:r>
      <w:r w:rsidR="009F66E9">
        <w:rPr>
          <w:sz w:val="24"/>
          <w:szCs w:val="24"/>
        </w:rPr>
        <w:t>« </w:t>
      </w:r>
      <w:r w:rsidR="007C2F67">
        <w:rPr>
          <w:sz w:val="24"/>
          <w:szCs w:val="24"/>
        </w:rPr>
        <w:t>enthousiasme</w:t>
      </w:r>
      <w:r w:rsidR="009F66E9">
        <w:rPr>
          <w:sz w:val="24"/>
          <w:szCs w:val="24"/>
        </w:rPr>
        <w:t xml:space="preserve"> et résilience »</w:t>
      </w:r>
      <w:r w:rsidR="00A57A59">
        <w:rPr>
          <w:sz w:val="24"/>
          <w:szCs w:val="24"/>
        </w:rPr>
        <w:t xml:space="preserve">, ou faut-il discerner dans cette actualité de la souffrance des soignants les </w:t>
      </w:r>
      <w:r w:rsidR="00E74493">
        <w:rPr>
          <w:sz w:val="24"/>
          <w:szCs w:val="24"/>
        </w:rPr>
        <w:t>signes</w:t>
      </w:r>
      <w:r w:rsidR="00A57A59">
        <w:rPr>
          <w:sz w:val="24"/>
          <w:szCs w:val="24"/>
        </w:rPr>
        <w:t xml:space="preserve"> d’une mutation de grande ampleur</w:t>
      </w:r>
      <w:r w:rsidR="009F66E9">
        <w:rPr>
          <w:sz w:val="24"/>
          <w:szCs w:val="24"/>
        </w:rPr>
        <w:t>, qu’on ne sait pas encore comment accueillir</w:t>
      </w:r>
      <w:r w:rsidR="00A621A6">
        <w:rPr>
          <w:sz w:val="24"/>
          <w:szCs w:val="24"/>
        </w:rPr>
        <w:t xml:space="preserve"> ni s’il convient d’y résister (avec quelles énergies)</w:t>
      </w:r>
      <w:r w:rsidR="00A57A59">
        <w:rPr>
          <w:sz w:val="24"/>
          <w:szCs w:val="24"/>
        </w:rPr>
        <w:t xml:space="preserve"> ? </w:t>
      </w:r>
    </w:p>
    <w:p w14:paraId="00343418" w14:textId="79DEA507" w:rsidR="00A57A59" w:rsidRDefault="00A57A59" w:rsidP="009F66E9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Nous nous proposons d’analyser la relation médicale (et plus largement soignante) en mobilisant deux concepts, l’</w:t>
      </w:r>
      <w:r w:rsidR="004F6CED">
        <w:rPr>
          <w:sz w:val="24"/>
          <w:szCs w:val="24"/>
        </w:rPr>
        <w:t xml:space="preserve">aliénation </w:t>
      </w:r>
      <w:r>
        <w:rPr>
          <w:sz w:val="24"/>
          <w:szCs w:val="24"/>
        </w:rPr>
        <w:t xml:space="preserve">et la puissance. </w:t>
      </w:r>
      <w:r w:rsidR="00A204A5">
        <w:rPr>
          <w:sz w:val="24"/>
          <w:szCs w:val="24"/>
        </w:rPr>
        <w:t>U</w:t>
      </w:r>
      <w:r w:rsidR="004F6CED">
        <w:rPr>
          <w:sz w:val="24"/>
          <w:szCs w:val="24"/>
        </w:rPr>
        <w:t>ne</w:t>
      </w:r>
      <w:r w:rsidR="004F6CED" w:rsidRPr="00E14F31">
        <w:rPr>
          <w:sz w:val="24"/>
          <w:szCs w:val="24"/>
        </w:rPr>
        <w:t xml:space="preserve"> aliénation </w:t>
      </w:r>
      <w:r w:rsidR="004F6CED">
        <w:rPr>
          <w:sz w:val="24"/>
          <w:szCs w:val="24"/>
        </w:rPr>
        <w:t xml:space="preserve">est </w:t>
      </w:r>
      <w:r w:rsidR="004F6CED" w:rsidRPr="00E14F31">
        <w:rPr>
          <w:sz w:val="24"/>
          <w:szCs w:val="24"/>
        </w:rPr>
        <w:t>cachée au cœur du métier</w:t>
      </w:r>
      <w:r w:rsidR="004F6CED">
        <w:rPr>
          <w:sz w:val="24"/>
          <w:szCs w:val="24"/>
        </w:rPr>
        <w:t>,</w:t>
      </w:r>
      <w:r w:rsidR="007C2F67">
        <w:rPr>
          <w:sz w:val="24"/>
          <w:szCs w:val="24"/>
        </w:rPr>
        <w:t xml:space="preserve"> </w:t>
      </w:r>
      <w:r w:rsidR="00A621A6">
        <w:rPr>
          <w:sz w:val="24"/>
          <w:szCs w:val="24"/>
        </w:rPr>
        <w:t>dont la trame est liée à</w:t>
      </w:r>
      <w:r w:rsidR="007C2F67">
        <w:rPr>
          <w:sz w:val="24"/>
          <w:szCs w:val="24"/>
        </w:rPr>
        <w:t xml:space="preserve"> une relation anthropologique fondamentale (la dépendance à autrui)</w:t>
      </w:r>
      <w:r w:rsidR="004F6CED">
        <w:rPr>
          <w:sz w:val="24"/>
          <w:szCs w:val="24"/>
        </w:rPr>
        <w:t> ; une autre aliénation</w:t>
      </w:r>
      <w:r w:rsidR="00A621A6">
        <w:rPr>
          <w:sz w:val="24"/>
          <w:szCs w:val="24"/>
        </w:rPr>
        <w:t>,</w:t>
      </w:r>
      <w:r w:rsidR="007C2F67" w:rsidRPr="007C2F67">
        <w:rPr>
          <w:sz w:val="24"/>
          <w:szCs w:val="24"/>
        </w:rPr>
        <w:t xml:space="preserve"> </w:t>
      </w:r>
      <w:r w:rsidR="007C2F67" w:rsidRPr="00E14F31">
        <w:rPr>
          <w:sz w:val="24"/>
          <w:szCs w:val="24"/>
        </w:rPr>
        <w:t>au sens marxien</w:t>
      </w:r>
      <w:r w:rsidR="007C2F67">
        <w:rPr>
          <w:sz w:val="24"/>
          <w:szCs w:val="24"/>
        </w:rPr>
        <w:t xml:space="preserve"> du terme, apparaît à présent au grand jour de l’entreprise productive</w:t>
      </w:r>
      <w:r w:rsidR="004F6CED">
        <w:rPr>
          <w:sz w:val="24"/>
          <w:szCs w:val="24"/>
        </w:rPr>
        <w:t xml:space="preserve">, </w:t>
      </w:r>
      <w:r w:rsidR="007C2F67">
        <w:rPr>
          <w:sz w:val="24"/>
          <w:szCs w:val="24"/>
        </w:rPr>
        <w:t>alors qu’elle pouvait passer inaperçue</w:t>
      </w:r>
      <w:r w:rsidR="004F6CED">
        <w:rPr>
          <w:sz w:val="24"/>
          <w:szCs w:val="24"/>
        </w:rPr>
        <w:t xml:space="preserve">, </w:t>
      </w:r>
      <w:r w:rsidR="007C2F67">
        <w:rPr>
          <w:sz w:val="24"/>
          <w:szCs w:val="24"/>
        </w:rPr>
        <w:t>subtilement enchâssée</w:t>
      </w:r>
      <w:r w:rsidR="004F6CED" w:rsidRPr="00E14F31">
        <w:rPr>
          <w:sz w:val="24"/>
          <w:szCs w:val="24"/>
        </w:rPr>
        <w:t xml:space="preserve"> dans un pouvoir de service et de soin</w:t>
      </w:r>
      <w:r w:rsidR="000C4D5B">
        <w:rPr>
          <w:sz w:val="24"/>
          <w:szCs w:val="24"/>
        </w:rPr>
        <w:t>.</w:t>
      </w:r>
      <w:r w:rsidR="004F6CED">
        <w:rPr>
          <w:sz w:val="24"/>
          <w:szCs w:val="24"/>
        </w:rPr>
        <w:t xml:space="preserve"> Les remises en cause de ce pouvoir rendent nécessaire </w:t>
      </w:r>
      <w:r w:rsidR="00A204A5">
        <w:rPr>
          <w:sz w:val="24"/>
          <w:szCs w:val="24"/>
        </w:rPr>
        <w:t>le</w:t>
      </w:r>
      <w:r w:rsidR="004F6CED">
        <w:rPr>
          <w:sz w:val="24"/>
          <w:szCs w:val="24"/>
        </w:rPr>
        <w:t xml:space="preserve"> décrypt</w:t>
      </w:r>
      <w:r w:rsidR="00A204A5">
        <w:rPr>
          <w:sz w:val="24"/>
          <w:szCs w:val="24"/>
        </w:rPr>
        <w:t xml:space="preserve">age de </w:t>
      </w:r>
      <w:r w:rsidR="004F6CED">
        <w:rPr>
          <w:sz w:val="24"/>
          <w:szCs w:val="24"/>
        </w:rPr>
        <w:t xml:space="preserve">ce </w:t>
      </w:r>
      <w:r w:rsidR="007C2F67">
        <w:rPr>
          <w:sz w:val="24"/>
          <w:szCs w:val="24"/>
        </w:rPr>
        <w:t xml:space="preserve">que recouvre réellement </w:t>
      </w:r>
      <w:r w:rsidR="004F6CED">
        <w:rPr>
          <w:sz w:val="24"/>
          <w:szCs w:val="24"/>
        </w:rPr>
        <w:t xml:space="preserve">la puissance de soigner (qui semble basculer en </w:t>
      </w:r>
      <w:r w:rsidR="004F6CED">
        <w:rPr>
          <w:sz w:val="24"/>
          <w:szCs w:val="24"/>
        </w:rPr>
        <w:lastRenderedPageBreak/>
        <w:t>impuissance)</w:t>
      </w:r>
      <w:r w:rsidR="00A204A5">
        <w:rPr>
          <w:sz w:val="24"/>
          <w:szCs w:val="24"/>
        </w:rPr>
        <w:t xml:space="preserve">. </w:t>
      </w:r>
      <w:r w:rsidR="007C2F67">
        <w:rPr>
          <w:sz w:val="24"/>
          <w:szCs w:val="24"/>
        </w:rPr>
        <w:t>Quels sont les rôles respectifs des puissances actives (</w:t>
      </w:r>
      <w:r w:rsidR="007C2F67" w:rsidRPr="00E14F31">
        <w:rPr>
          <w:rFonts w:cstheme="minorHAnsi"/>
          <w:sz w:val="24"/>
          <w:szCs w:val="24"/>
        </w:rPr>
        <w:t>capacités d’être la caus</w:t>
      </w:r>
      <w:r w:rsidR="007C2F67">
        <w:rPr>
          <w:rFonts w:cstheme="minorHAnsi"/>
          <w:sz w:val="24"/>
          <w:szCs w:val="24"/>
        </w:rPr>
        <w:t>e de changements chez le patient)</w:t>
      </w:r>
      <w:r w:rsidR="007C2F67">
        <w:rPr>
          <w:sz w:val="24"/>
          <w:szCs w:val="24"/>
        </w:rPr>
        <w:t xml:space="preserve"> et de la puissance passive (</w:t>
      </w:r>
      <w:r w:rsidR="007C2F67" w:rsidRPr="00E14F31">
        <w:rPr>
          <w:rFonts w:cstheme="minorHAnsi"/>
          <w:sz w:val="24"/>
          <w:szCs w:val="24"/>
        </w:rPr>
        <w:t>celle d’être modifié par l’action du malade</w:t>
      </w:r>
      <w:r w:rsidR="007C2F67">
        <w:rPr>
          <w:sz w:val="24"/>
          <w:szCs w:val="24"/>
        </w:rPr>
        <w:t xml:space="preserve">) dans le soin ? </w:t>
      </w:r>
      <w:r w:rsidR="00A204A5">
        <w:rPr>
          <w:sz w:val="24"/>
          <w:szCs w:val="24"/>
        </w:rPr>
        <w:t xml:space="preserve">Quels en sont les déterminants qui tiennent à l’agent (individuel et collectif) ? Quelles en sont les causes externes ? Quelle est la place de l’engagement subjectif dans un travail ordonné aux intérêts d’un autre ? </w:t>
      </w:r>
      <w:r w:rsidR="0037114C">
        <w:rPr>
          <w:sz w:val="24"/>
          <w:szCs w:val="24"/>
        </w:rPr>
        <w:t>Les changements sociaux et politiques affectent-ils le noyau dur de la disposition soignante</w:t>
      </w:r>
      <w:r w:rsidR="007C2F67">
        <w:rPr>
          <w:sz w:val="24"/>
          <w:szCs w:val="24"/>
        </w:rPr>
        <w:t xml:space="preserve"> ou la bousculent-elle en surface</w:t>
      </w:r>
      <w:r w:rsidR="0037114C">
        <w:rPr>
          <w:sz w:val="24"/>
          <w:szCs w:val="24"/>
        </w:rPr>
        <w:t xml:space="preserve"> ? </w:t>
      </w:r>
      <w:r w:rsidR="007C2F67">
        <w:rPr>
          <w:sz w:val="24"/>
          <w:szCs w:val="24"/>
        </w:rPr>
        <w:t>Finalement, ne faudrait-il pas remettre en cause l’aliénation-engagement du soignant ? Est-</w:t>
      </w:r>
      <w:r w:rsidR="00A621A6">
        <w:rPr>
          <w:sz w:val="24"/>
          <w:szCs w:val="24"/>
        </w:rPr>
        <w:t>ce</w:t>
      </w:r>
      <w:r w:rsidR="007C2F67">
        <w:rPr>
          <w:sz w:val="24"/>
          <w:szCs w:val="24"/>
        </w:rPr>
        <w:t xml:space="preserve"> réellement la clef d’une médecine humaine</w:t>
      </w:r>
      <w:r w:rsidR="00A621A6">
        <w:rPr>
          <w:sz w:val="24"/>
          <w:szCs w:val="24"/>
        </w:rPr>
        <w:t xml:space="preserve"> (pratiquée par des personnes pour des personnes)</w:t>
      </w:r>
      <w:r w:rsidR="007C2F67">
        <w:rPr>
          <w:sz w:val="24"/>
          <w:szCs w:val="24"/>
        </w:rPr>
        <w:t xml:space="preserve">, ou faut-il l’envisager différemment ? Une révolution morale est-elle en marche ? </w:t>
      </w:r>
    </w:p>
    <w:p w14:paraId="6DBF2CD2" w14:textId="77777777" w:rsidR="0037114C" w:rsidRDefault="0037114C" w:rsidP="009F66E9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chantier s’ouvre, peut-être pour plusieurs années.  </w:t>
      </w:r>
    </w:p>
    <w:p w14:paraId="5A2765A8" w14:textId="77777777" w:rsidR="000C4D5B" w:rsidRPr="00E14F31" w:rsidRDefault="000C4D5B" w:rsidP="00F70031">
      <w:pPr>
        <w:spacing w:line="360" w:lineRule="auto"/>
        <w:jc w:val="both"/>
        <w:rPr>
          <w:sz w:val="24"/>
          <w:szCs w:val="24"/>
        </w:rPr>
      </w:pPr>
    </w:p>
    <w:p w14:paraId="3473BF84" w14:textId="253F9CCB" w:rsidR="000055CD" w:rsidRPr="00F70031" w:rsidRDefault="000C4D5B" w:rsidP="00EA44A6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Bibliographie liminaire : </w:t>
      </w:r>
      <w:r w:rsidRPr="000C4D5B">
        <w:rPr>
          <w:rFonts w:cstheme="minorHAnsi"/>
          <w:sz w:val="24"/>
          <w:szCs w:val="24"/>
        </w:rPr>
        <w:t xml:space="preserve">Paolo Virno, </w:t>
      </w:r>
      <w:r w:rsidRPr="000C4D5B">
        <w:rPr>
          <w:rFonts w:cstheme="minorHAnsi"/>
          <w:i/>
          <w:sz w:val="24"/>
          <w:szCs w:val="24"/>
        </w:rPr>
        <w:t>De l’impuissance. La vie à l’époque de sa paralysie frénétique</w:t>
      </w:r>
      <w:r w:rsidRPr="000C4D5B">
        <w:rPr>
          <w:rFonts w:cstheme="minorHAnsi"/>
          <w:sz w:val="24"/>
          <w:szCs w:val="24"/>
        </w:rPr>
        <w:t>, Paris, Editions de l’éclat, 2022.</w:t>
      </w:r>
    </w:p>
    <w:p w14:paraId="5786EA7E" w14:textId="77777777" w:rsidR="00A36F25" w:rsidRPr="00F70031" w:rsidRDefault="00A36F25" w:rsidP="00A36F25">
      <w:pPr>
        <w:ind w:firstLine="1134"/>
        <w:jc w:val="center"/>
        <w:rPr>
          <w:rFonts w:ascii="Arial" w:hAnsi="Arial" w:cs="Arial"/>
          <w:b/>
          <w:sz w:val="24"/>
        </w:rPr>
      </w:pPr>
    </w:p>
    <w:p w14:paraId="6DDEBECF" w14:textId="77777777" w:rsidR="00EA44A6" w:rsidRPr="00F70031" w:rsidRDefault="00EA44A6" w:rsidP="00A36F25">
      <w:pPr>
        <w:ind w:firstLine="1134"/>
        <w:jc w:val="center"/>
        <w:rPr>
          <w:rFonts w:ascii="Arial" w:hAnsi="Arial" w:cs="Arial"/>
          <w:b/>
          <w:sz w:val="24"/>
        </w:rPr>
      </w:pPr>
    </w:p>
    <w:p w14:paraId="154AFFA4" w14:textId="77777777" w:rsidR="00EA44A6" w:rsidRPr="00F70031" w:rsidRDefault="00EA44A6" w:rsidP="00A36F25">
      <w:pPr>
        <w:ind w:firstLine="1134"/>
        <w:jc w:val="center"/>
        <w:rPr>
          <w:rFonts w:ascii="Arial" w:hAnsi="Arial" w:cs="Arial"/>
          <w:b/>
          <w:sz w:val="24"/>
        </w:rPr>
      </w:pPr>
    </w:p>
    <w:p w14:paraId="793DF48A" w14:textId="77777777" w:rsidR="00A36F25" w:rsidRPr="007C2F67" w:rsidRDefault="00A36F25" w:rsidP="00A36F25">
      <w:pPr>
        <w:jc w:val="both"/>
        <w:rPr>
          <w:rStyle w:val="lev"/>
          <w:rFonts w:ascii="Arial" w:hAnsi="Arial" w:cs="Arial"/>
          <w:i/>
          <w:iCs/>
          <w:sz w:val="22"/>
          <w:u w:val="single"/>
        </w:rPr>
      </w:pPr>
      <w:r w:rsidRPr="007C2F67">
        <w:rPr>
          <w:rStyle w:val="lev"/>
          <w:rFonts w:ascii="Arial" w:hAnsi="Arial" w:cs="Arial"/>
          <w:i/>
          <w:iCs/>
          <w:sz w:val="22"/>
          <w:u w:val="single"/>
        </w:rPr>
        <w:t>Modalités pratiques :</w:t>
      </w:r>
    </w:p>
    <w:p w14:paraId="58DB5AA7" w14:textId="77777777" w:rsidR="00A36F25" w:rsidRPr="001363FE" w:rsidRDefault="00A36F25" w:rsidP="00A36F25">
      <w:pPr>
        <w:rPr>
          <w:rFonts w:ascii="Arial" w:hAnsi="Arial" w:cs="Arial"/>
          <w:b/>
          <w:bCs/>
          <w:sz w:val="24"/>
          <w:szCs w:val="24"/>
        </w:rPr>
      </w:pPr>
      <w:r w:rsidRPr="001363FE">
        <w:rPr>
          <w:rStyle w:val="lev"/>
          <w:rFonts w:ascii="Arial" w:hAnsi="Arial" w:cs="Arial"/>
          <w:i/>
          <w:iCs/>
          <w:sz w:val="24"/>
          <w:szCs w:val="24"/>
        </w:rPr>
        <w:t xml:space="preserve">Les séances du séminaire auront lieu le </w:t>
      </w:r>
      <w:r w:rsidR="00AF51EC">
        <w:rPr>
          <w:rStyle w:val="lev"/>
          <w:rFonts w:ascii="Arial" w:hAnsi="Arial" w:cs="Arial"/>
          <w:i/>
          <w:iCs/>
          <w:sz w:val="24"/>
          <w:szCs w:val="24"/>
        </w:rPr>
        <w:t>lundi</w:t>
      </w:r>
      <w:r w:rsidRPr="001363FE">
        <w:rPr>
          <w:rStyle w:val="lev"/>
          <w:rFonts w:ascii="Arial" w:hAnsi="Arial" w:cs="Arial"/>
          <w:i/>
          <w:iCs/>
          <w:sz w:val="24"/>
          <w:szCs w:val="24"/>
        </w:rPr>
        <w:t xml:space="preserve"> de 16h à 18h :</w:t>
      </w:r>
      <w:r w:rsidRPr="001363FE">
        <w:rPr>
          <w:rFonts w:ascii="Arial" w:hAnsi="Arial" w:cs="Arial"/>
          <w:sz w:val="24"/>
          <w:szCs w:val="24"/>
        </w:rPr>
        <w:t xml:space="preserve"> </w:t>
      </w:r>
      <w:r w:rsidR="00C332BF">
        <w:rPr>
          <w:rFonts w:cstheme="minorHAnsi"/>
          <w:sz w:val="24"/>
          <w:szCs w:val="24"/>
        </w:rPr>
        <w:t>5 décembre 2022, 16 janvier, 30 janvier, 6 mars, 3 avril et 24 avril 20223</w:t>
      </w:r>
      <w:r w:rsidR="00AF51EC">
        <w:rPr>
          <w:rFonts w:cstheme="minorHAnsi"/>
          <w:sz w:val="24"/>
          <w:szCs w:val="24"/>
        </w:rPr>
        <w:t>.</w:t>
      </w:r>
    </w:p>
    <w:p w14:paraId="723190B5" w14:textId="77777777" w:rsidR="00A36F25" w:rsidRPr="0043179F" w:rsidRDefault="00A36F25" w:rsidP="00A36F25">
      <w:pPr>
        <w:rPr>
          <w:rFonts w:ascii="Arial" w:hAnsi="Arial" w:cs="Arial"/>
          <w:sz w:val="22"/>
        </w:rPr>
      </w:pPr>
    </w:p>
    <w:p w14:paraId="72895A00" w14:textId="77777777" w:rsidR="00A36F25" w:rsidRPr="00AF51EC" w:rsidRDefault="00A36F25" w:rsidP="00A36F25">
      <w:pPr>
        <w:rPr>
          <w:sz w:val="24"/>
          <w:szCs w:val="24"/>
        </w:rPr>
      </w:pPr>
      <w:r w:rsidRPr="00AF51EC">
        <w:rPr>
          <w:b/>
          <w:sz w:val="24"/>
          <w:szCs w:val="24"/>
        </w:rPr>
        <w:t>Lieu</w:t>
      </w:r>
      <w:r w:rsidRPr="00AF51EC">
        <w:rPr>
          <w:sz w:val="24"/>
          <w:szCs w:val="24"/>
        </w:rPr>
        <w:t> </w:t>
      </w:r>
      <w:r w:rsidR="00C332BF">
        <w:rPr>
          <w:sz w:val="24"/>
          <w:szCs w:val="24"/>
        </w:rPr>
        <w:t xml:space="preserve">: </w:t>
      </w:r>
      <w:r w:rsidR="00F70031">
        <w:rPr>
          <w:sz w:val="24"/>
          <w:szCs w:val="24"/>
        </w:rPr>
        <w:t>La</w:t>
      </w:r>
      <w:r w:rsidR="00C332BF">
        <w:rPr>
          <w:sz w:val="24"/>
          <w:szCs w:val="24"/>
        </w:rPr>
        <w:t xml:space="preserve"> salle 19</w:t>
      </w:r>
      <w:r w:rsidRPr="00AF51EC">
        <w:rPr>
          <w:sz w:val="24"/>
          <w:szCs w:val="24"/>
        </w:rPr>
        <w:t xml:space="preserve"> du bâtiment d’Anatomie, au cœur de l’hôpital civil de Strasbourg</w:t>
      </w:r>
    </w:p>
    <w:p w14:paraId="1A4EA1B9" w14:textId="77777777" w:rsidR="004219F7" w:rsidRPr="00AF51EC" w:rsidRDefault="004219F7" w:rsidP="00A36F25">
      <w:pPr>
        <w:rPr>
          <w:sz w:val="24"/>
          <w:szCs w:val="24"/>
        </w:rPr>
      </w:pPr>
    </w:p>
    <w:p w14:paraId="559EE317" w14:textId="77777777" w:rsidR="00A36F25" w:rsidRPr="00AF51EC" w:rsidRDefault="004219F7" w:rsidP="00A36F25">
      <w:pPr>
        <w:rPr>
          <w:sz w:val="24"/>
          <w:szCs w:val="24"/>
        </w:rPr>
      </w:pPr>
      <w:r w:rsidRPr="00AF51EC">
        <w:rPr>
          <w:sz w:val="24"/>
          <w:szCs w:val="24"/>
        </w:rPr>
        <w:t xml:space="preserve">Le séminaire est ouvert à toute personne désirant mettre ces questions au travail. </w:t>
      </w:r>
    </w:p>
    <w:p w14:paraId="4B7ABBA0" w14:textId="77777777" w:rsidR="00AF51EC" w:rsidRDefault="00AF51EC" w:rsidP="00AF51EC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étudiants qui souhaitent le valider dans le cadre d’un master ou d’une formation doctorale sont priés de se faire connaître dès la première séance. </w:t>
      </w:r>
    </w:p>
    <w:p w14:paraId="3E7CD3E6" w14:textId="77777777" w:rsidR="00AF51EC" w:rsidRDefault="00AF51EC" w:rsidP="00AF51EC">
      <w:pPr>
        <w:ind w:firstLine="708"/>
        <w:jc w:val="both"/>
        <w:rPr>
          <w:rStyle w:val="Lienhypertexte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s’inscrit par simple courriel adressé à </w:t>
      </w:r>
      <w:hyperlink r:id="rId6" w:history="1">
        <w:r w:rsidRPr="001674C4">
          <w:rPr>
            <w:rStyle w:val="Lienhypertexte"/>
            <w:rFonts w:cstheme="minorHAnsi"/>
            <w:sz w:val="24"/>
            <w:szCs w:val="24"/>
          </w:rPr>
          <w:t>jean-christophe.weber@chru-strasbourg.fr</w:t>
        </w:r>
      </w:hyperlink>
    </w:p>
    <w:p w14:paraId="55D9F22C" w14:textId="77777777" w:rsidR="000C4D5B" w:rsidRDefault="000C4D5B" w:rsidP="00AF51EC">
      <w:pPr>
        <w:ind w:firstLine="708"/>
        <w:jc w:val="both"/>
        <w:rPr>
          <w:rStyle w:val="Lienhypertexte"/>
          <w:rFonts w:cstheme="minorHAnsi"/>
          <w:sz w:val="24"/>
          <w:szCs w:val="24"/>
        </w:rPr>
      </w:pPr>
    </w:p>
    <w:p w14:paraId="252C7719" w14:textId="77777777" w:rsidR="000C4D5B" w:rsidRDefault="000C4D5B" w:rsidP="00AF51EC">
      <w:pPr>
        <w:ind w:firstLine="708"/>
        <w:jc w:val="both"/>
        <w:rPr>
          <w:rStyle w:val="Lienhypertexte"/>
          <w:rFonts w:cstheme="minorHAnsi"/>
          <w:sz w:val="24"/>
          <w:szCs w:val="24"/>
        </w:rPr>
      </w:pPr>
    </w:p>
    <w:p w14:paraId="35E1D040" w14:textId="77777777" w:rsidR="00C332BF" w:rsidRDefault="00C332BF" w:rsidP="00C332BF">
      <w:pPr>
        <w:jc w:val="both"/>
        <w:rPr>
          <w:rFonts w:cstheme="minorHAnsi"/>
          <w:sz w:val="24"/>
          <w:szCs w:val="24"/>
        </w:rPr>
      </w:pPr>
    </w:p>
    <w:p w14:paraId="32FEFCBF" w14:textId="77777777" w:rsidR="00A36F25" w:rsidRDefault="00A36F25" w:rsidP="00AF51EC"/>
    <w:sectPr w:rsidR="00A36F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EA4" w16cex:dateUtc="2022-10-17T18:50:00Z"/>
  <w16cex:commentExtensible w16cex:durableId="26F83F50" w16cex:dateUtc="2022-10-17T18:53:00Z"/>
  <w16cex:commentExtensible w16cex:durableId="26F83FBF" w16cex:dateUtc="2022-10-17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5A4C6" w16cid:durableId="26F83EA4"/>
  <w16cid:commentId w16cid:paraId="16DEFE59" w16cid:durableId="26F83F50"/>
  <w16cid:commentId w16cid:paraId="3BEDF15C" w16cid:durableId="26F83F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1670" w14:textId="77777777" w:rsidR="000D63A5" w:rsidRDefault="000D63A5" w:rsidP="00E211C2">
      <w:r>
        <w:separator/>
      </w:r>
    </w:p>
  </w:endnote>
  <w:endnote w:type="continuationSeparator" w:id="0">
    <w:p w14:paraId="483CBBB7" w14:textId="77777777" w:rsidR="000D63A5" w:rsidRDefault="000D63A5" w:rsidP="00E2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86EF5" w14:textId="77777777" w:rsidR="000D63A5" w:rsidRDefault="000D63A5" w:rsidP="00E211C2">
      <w:r>
        <w:separator/>
      </w:r>
    </w:p>
  </w:footnote>
  <w:footnote w:type="continuationSeparator" w:id="0">
    <w:p w14:paraId="5D595213" w14:textId="77777777" w:rsidR="000D63A5" w:rsidRDefault="000D63A5" w:rsidP="00E211C2">
      <w:r>
        <w:continuationSeparator/>
      </w:r>
    </w:p>
  </w:footnote>
  <w:footnote w:id="1">
    <w:p w14:paraId="4800F398" w14:textId="77777777" w:rsidR="00B138CC" w:rsidRPr="002B4271" w:rsidRDefault="00B138CC" w:rsidP="00B138CC">
      <w:pPr>
        <w:pStyle w:val="Notedefin"/>
        <w:ind w:right="-566"/>
        <w:rPr>
          <w:rFonts w:asciiTheme="minorHAnsi" w:hAnsiTheme="minorHAnsi"/>
          <w:sz w:val="18"/>
          <w:szCs w:val="18"/>
        </w:rPr>
      </w:pPr>
      <w:r w:rsidRPr="002B4271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2B427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2B4271">
        <w:rPr>
          <w:rFonts w:asciiTheme="minorHAnsi" w:hAnsiTheme="minorHAnsi"/>
          <w:smallCaps/>
          <w:sz w:val="18"/>
          <w:szCs w:val="18"/>
        </w:rPr>
        <w:t>Michelstaedter</w:t>
      </w:r>
      <w:proofErr w:type="spellEnd"/>
      <w:r w:rsidRPr="002B4271">
        <w:rPr>
          <w:rFonts w:asciiTheme="minorHAnsi" w:hAnsiTheme="minorHAnsi"/>
          <w:sz w:val="18"/>
          <w:szCs w:val="18"/>
        </w:rPr>
        <w:t xml:space="preserve"> Carlo, </w:t>
      </w:r>
      <w:r w:rsidRPr="002B4271">
        <w:rPr>
          <w:rFonts w:asciiTheme="minorHAnsi" w:hAnsiTheme="minorHAnsi"/>
          <w:i/>
          <w:sz w:val="18"/>
          <w:szCs w:val="18"/>
        </w:rPr>
        <w:t>La persuasion et la rhétorique ; appendices critiques</w:t>
      </w:r>
      <w:r w:rsidRPr="002B4271">
        <w:rPr>
          <w:rFonts w:asciiTheme="minorHAnsi" w:hAnsiTheme="minorHAnsi"/>
          <w:sz w:val="18"/>
          <w:szCs w:val="18"/>
        </w:rPr>
        <w:t>, Paris, L’Eclat, 2015, p.93.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9E4A" w14:textId="77777777" w:rsidR="00E211C2" w:rsidRDefault="00E211C2" w:rsidP="00E211C2">
    <w:pPr>
      <w:pStyle w:val="En-tte"/>
      <w:tabs>
        <w:tab w:val="clear" w:pos="4536"/>
        <w:tab w:val="clear" w:pos="9072"/>
        <w:tab w:val="center" w:pos="5387"/>
      </w:tabs>
      <w:jc w:val="both"/>
    </w:pPr>
    <w:r>
      <w:rPr>
        <w:noProof/>
        <w:lang w:eastAsia="fr-FR"/>
      </w:rPr>
      <w:drawing>
        <wp:inline distT="0" distB="0" distL="0" distR="0" wp14:anchorId="62AD73D3" wp14:editId="3341591E">
          <wp:extent cx="1077468" cy="1333500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HP-P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747" cy="133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63EBE">
      <w:t xml:space="preserve">                </w:t>
    </w:r>
    <w:r w:rsidR="00863EBE">
      <w:rPr>
        <w:noProof/>
        <w:lang w:eastAsia="fr-FR"/>
      </w:rPr>
      <w:drawing>
        <wp:inline distT="0" distB="0" distL="0" distR="0" wp14:anchorId="6D04AA37" wp14:editId="6702E369">
          <wp:extent cx="1504315" cy="809625"/>
          <wp:effectExtent l="0" t="0" r="63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eer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6" b="12371"/>
                  <a:stretch/>
                </pic:blipFill>
                <pic:spPr bwMode="auto">
                  <a:xfrm>
                    <a:off x="0" y="0"/>
                    <a:ext cx="1562135" cy="840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 w:rsidR="00863EBE">
      <w:t xml:space="preserve">         </w:t>
    </w:r>
    <w:r>
      <w:t xml:space="preserve">       </w:t>
    </w:r>
    <w:r w:rsidRPr="00032ACB">
      <w:rPr>
        <w:noProof/>
        <w:lang w:eastAsia="fr-FR"/>
      </w:rPr>
      <w:drawing>
        <wp:inline distT="0" distB="0" distL="0" distR="0" wp14:anchorId="74DB0E7B" wp14:editId="12C76EA3">
          <wp:extent cx="1531620" cy="554340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31620" cy="55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A2532" w14:textId="77777777" w:rsidR="00EA44A6" w:rsidRDefault="00EA44A6" w:rsidP="00E211C2">
    <w:pPr>
      <w:pStyle w:val="En-tte"/>
      <w:tabs>
        <w:tab w:val="clear" w:pos="4536"/>
        <w:tab w:val="clear" w:pos="9072"/>
        <w:tab w:val="center" w:pos="5387"/>
      </w:tabs>
      <w:jc w:val="both"/>
    </w:pPr>
  </w:p>
  <w:p w14:paraId="2731BE5D" w14:textId="77777777" w:rsidR="00EA44A6" w:rsidRDefault="00EA44A6" w:rsidP="00EA44A6">
    <w:pPr>
      <w:pStyle w:val="En-tte"/>
      <w:tabs>
        <w:tab w:val="clear" w:pos="4536"/>
        <w:tab w:val="clear" w:pos="9072"/>
        <w:tab w:val="center" w:pos="5387"/>
      </w:tabs>
      <w:jc w:val="center"/>
    </w:pPr>
    <w:r>
      <w:rPr>
        <w:noProof/>
        <w:lang w:eastAsia="fr-FR"/>
      </w:rPr>
      <w:drawing>
        <wp:inline distT="0" distB="0" distL="0" distR="0" wp14:anchorId="07EC10B3" wp14:editId="06496053">
          <wp:extent cx="4048125" cy="877718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hica Etendu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2245" cy="878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C2"/>
    <w:rsid w:val="000055CD"/>
    <w:rsid w:val="000136A9"/>
    <w:rsid w:val="000C4D5B"/>
    <w:rsid w:val="000D63A5"/>
    <w:rsid w:val="000E2F1E"/>
    <w:rsid w:val="001363FE"/>
    <w:rsid w:val="00255526"/>
    <w:rsid w:val="002D1760"/>
    <w:rsid w:val="0037114C"/>
    <w:rsid w:val="003E594A"/>
    <w:rsid w:val="004219F7"/>
    <w:rsid w:val="004623E2"/>
    <w:rsid w:val="004A2A45"/>
    <w:rsid w:val="004F6CED"/>
    <w:rsid w:val="00604998"/>
    <w:rsid w:val="00654EA4"/>
    <w:rsid w:val="00671A4A"/>
    <w:rsid w:val="006A15E4"/>
    <w:rsid w:val="007C2F67"/>
    <w:rsid w:val="00863EBE"/>
    <w:rsid w:val="008E5F47"/>
    <w:rsid w:val="0090355F"/>
    <w:rsid w:val="009F66E9"/>
    <w:rsid w:val="00A204A5"/>
    <w:rsid w:val="00A36F25"/>
    <w:rsid w:val="00A57A59"/>
    <w:rsid w:val="00A621A6"/>
    <w:rsid w:val="00AF51EC"/>
    <w:rsid w:val="00B138CC"/>
    <w:rsid w:val="00BB6269"/>
    <w:rsid w:val="00BE40EE"/>
    <w:rsid w:val="00BF28F5"/>
    <w:rsid w:val="00C332BF"/>
    <w:rsid w:val="00D51F5F"/>
    <w:rsid w:val="00E211C2"/>
    <w:rsid w:val="00E74493"/>
    <w:rsid w:val="00EA44A6"/>
    <w:rsid w:val="00EA54E6"/>
    <w:rsid w:val="00EF41A8"/>
    <w:rsid w:val="00F23E6F"/>
    <w:rsid w:val="00F70031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F00A5A"/>
  <w15:docId w15:val="{AC8F45B6-A661-4CA4-926C-5929E869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A36F25"/>
    <w:pPr>
      <w:keepNext/>
      <w:jc w:val="center"/>
      <w:outlineLvl w:val="6"/>
    </w:pPr>
    <w:rPr>
      <w:rFonts w:ascii="Comic Sans MS" w:hAnsi="Comic Sans MS"/>
      <w:b/>
      <w:bCs/>
    </w:rPr>
  </w:style>
  <w:style w:type="paragraph" w:styleId="Titre8">
    <w:name w:val="heading 8"/>
    <w:basedOn w:val="Normal"/>
    <w:next w:val="Normal"/>
    <w:link w:val="Titre8Car"/>
    <w:qFormat/>
    <w:rsid w:val="00A36F25"/>
    <w:pPr>
      <w:keepNext/>
      <w:jc w:val="center"/>
      <w:outlineLvl w:val="7"/>
    </w:pPr>
    <w:rPr>
      <w:rFonts w:ascii="Comic Sans MS" w:hAnsi="Comic Sans MS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1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1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11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211C2"/>
  </w:style>
  <w:style w:type="paragraph" w:styleId="Pieddepage">
    <w:name w:val="footer"/>
    <w:basedOn w:val="Normal"/>
    <w:link w:val="PieddepageCar"/>
    <w:unhideWhenUsed/>
    <w:rsid w:val="00E211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E211C2"/>
  </w:style>
  <w:style w:type="character" w:customStyle="1" w:styleId="Titre7Car">
    <w:name w:val="Titre 7 Car"/>
    <w:basedOn w:val="Policepardfaut"/>
    <w:link w:val="Titre7"/>
    <w:rsid w:val="00A36F25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A36F25"/>
    <w:rPr>
      <w:rFonts w:ascii="Comic Sans MS" w:eastAsia="Times New Roman" w:hAnsi="Comic Sans MS" w:cs="Times New Roman"/>
      <w:b/>
      <w:bCs/>
      <w:sz w:val="18"/>
      <w:szCs w:val="20"/>
      <w:lang w:eastAsia="fr-FR"/>
    </w:rPr>
  </w:style>
  <w:style w:type="character" w:styleId="Lienhypertexte">
    <w:name w:val="Hyperlink"/>
    <w:semiHidden/>
    <w:rsid w:val="00A36F25"/>
    <w:rPr>
      <w:color w:val="0000FF"/>
      <w:u w:val="single"/>
    </w:rPr>
  </w:style>
  <w:style w:type="character" w:styleId="lev">
    <w:name w:val="Strong"/>
    <w:qFormat/>
    <w:rsid w:val="00A36F25"/>
    <w:rPr>
      <w:b/>
      <w:bCs/>
    </w:rPr>
  </w:style>
  <w:style w:type="character" w:styleId="Appelnotedebasdep">
    <w:name w:val="footnote reference"/>
    <w:aliases w:val="Normal List"/>
    <w:basedOn w:val="Policepardfaut"/>
    <w:uiPriority w:val="99"/>
    <w:unhideWhenUsed/>
    <w:rsid w:val="00B138CC"/>
    <w:rPr>
      <w:vertAlign w:val="superscript"/>
    </w:rPr>
  </w:style>
  <w:style w:type="paragraph" w:styleId="Notedefin">
    <w:name w:val="endnote text"/>
    <w:basedOn w:val="Normal"/>
    <w:link w:val="NotedefinCar"/>
    <w:semiHidden/>
    <w:rsid w:val="00B138CC"/>
    <w:rPr>
      <w:rFonts w:ascii="Calibri" w:eastAsia="Calibri" w:hAnsi="Calibri" w:cs="Calibri"/>
    </w:rPr>
  </w:style>
  <w:style w:type="character" w:customStyle="1" w:styleId="NotedefinCar">
    <w:name w:val="Note de fin Car"/>
    <w:basedOn w:val="Policepardfaut"/>
    <w:link w:val="Notedefin"/>
    <w:semiHidden/>
    <w:rsid w:val="00B138CC"/>
    <w:rPr>
      <w:rFonts w:ascii="Calibri" w:eastAsia="Calibri" w:hAnsi="Calibri" w:cs="Calibri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54E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EA4"/>
  </w:style>
  <w:style w:type="character" w:customStyle="1" w:styleId="CommentaireCar">
    <w:name w:val="Commentaire Car"/>
    <w:basedOn w:val="Policepardfaut"/>
    <w:link w:val="Commentaire"/>
    <w:uiPriority w:val="99"/>
    <w:semiHidden/>
    <w:rsid w:val="00654EA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E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EA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-christophe.weber@chru-strasbourg.fr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PESCH Laure</cp:lastModifiedBy>
  <cp:revision>2</cp:revision>
  <dcterms:created xsi:type="dcterms:W3CDTF">2022-11-02T09:56:00Z</dcterms:created>
  <dcterms:modified xsi:type="dcterms:W3CDTF">2022-11-02T09:56:00Z</dcterms:modified>
</cp:coreProperties>
</file>